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1BFC" w14:textId="77777777" w:rsidR="00835C34" w:rsidRPr="00E643E9" w:rsidRDefault="00835C34" w:rsidP="007D16FB">
      <w:pPr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9867177"/>
    </w:p>
    <w:p w14:paraId="1CC55CBE" w14:textId="77777777" w:rsidR="00E643E9" w:rsidRPr="00E643E9" w:rsidRDefault="00E643E9" w:rsidP="0085140B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784"/>
        <w:gridCol w:w="1559"/>
      </w:tblGrid>
      <w:tr w:rsidR="00E643E9" w:rsidRPr="00E643E9" w14:paraId="61490EBA" w14:textId="77777777" w:rsidTr="00E643E9">
        <w:trPr>
          <w:trHeight w:val="497"/>
        </w:trPr>
        <w:tc>
          <w:tcPr>
            <w:tcW w:w="8784" w:type="dxa"/>
            <w:shd w:val="clear" w:color="auto" w:fill="DEEAF6" w:themeFill="accent5" w:themeFillTint="33"/>
            <w:vAlign w:val="center"/>
          </w:tcPr>
          <w:p w14:paraId="7C69E93A" w14:textId="7A6BCE74" w:rsidR="00E643E9" w:rsidRPr="00E643E9" w:rsidRDefault="00E643E9" w:rsidP="00E64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3E9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255561" w14:textId="72209021" w:rsidR="00E643E9" w:rsidRPr="00E643E9" w:rsidRDefault="00E643E9" w:rsidP="00941B32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3E9">
              <w:rPr>
                <w:rFonts w:ascii="Arial" w:hAnsi="Arial" w:cs="Arial"/>
                <w:b/>
                <w:bCs/>
              </w:rPr>
              <w:t>Compliant?</w:t>
            </w:r>
          </w:p>
        </w:tc>
      </w:tr>
      <w:tr w:rsidR="005F257C" w:rsidRPr="00E643E9" w14:paraId="5C8DA702" w14:textId="77777777" w:rsidTr="00E643E9">
        <w:trPr>
          <w:trHeight w:val="2809"/>
        </w:trPr>
        <w:tc>
          <w:tcPr>
            <w:tcW w:w="8784" w:type="dxa"/>
            <w:shd w:val="clear" w:color="auto" w:fill="E2EFD9" w:themeFill="accent6" w:themeFillTint="33"/>
            <w:vAlign w:val="center"/>
          </w:tcPr>
          <w:p w14:paraId="233A4BC0" w14:textId="6EB0BD3B" w:rsidR="005F257C" w:rsidRPr="00E643E9" w:rsidRDefault="005F257C" w:rsidP="005F257C">
            <w:pPr>
              <w:rPr>
                <w:rFonts w:ascii="Arial" w:hAnsi="Arial" w:cs="Arial"/>
                <w:b/>
                <w:bCs/>
              </w:rPr>
            </w:pPr>
            <w:r w:rsidRPr="00E643E9">
              <w:rPr>
                <w:rFonts w:ascii="Arial" w:hAnsi="Arial" w:cs="Arial"/>
                <w:b/>
                <w:bCs/>
              </w:rPr>
              <w:t>Hand Hygiene:</w:t>
            </w:r>
          </w:p>
          <w:p w14:paraId="78C3BD89" w14:textId="578D4E4F" w:rsidR="00AF6D79" w:rsidRPr="00E643E9" w:rsidRDefault="00AF6D79" w:rsidP="00AF6D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43E9">
              <w:rPr>
                <w:rFonts w:ascii="Arial" w:hAnsi="Arial" w:cs="Arial"/>
              </w:rPr>
              <w:t xml:space="preserve">Ensure all staff are bare below the </w:t>
            </w:r>
            <w:proofErr w:type="gramStart"/>
            <w:r w:rsidRPr="00E643E9">
              <w:rPr>
                <w:rFonts w:ascii="Arial" w:hAnsi="Arial" w:cs="Arial"/>
              </w:rPr>
              <w:t>elbow</w:t>
            </w:r>
            <w:proofErr w:type="gramEnd"/>
            <w:r w:rsidRPr="00E643E9">
              <w:rPr>
                <w:rFonts w:ascii="Arial" w:hAnsi="Arial" w:cs="Arial"/>
              </w:rPr>
              <w:t xml:space="preserve"> </w:t>
            </w:r>
          </w:p>
          <w:p w14:paraId="0CC87569" w14:textId="2FE73A52" w:rsidR="005F257C" w:rsidRPr="00E643E9" w:rsidRDefault="005F257C" w:rsidP="005F25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43E9">
              <w:rPr>
                <w:rFonts w:ascii="Arial" w:hAnsi="Arial" w:cs="Arial"/>
              </w:rPr>
              <w:t xml:space="preserve">Ensure liquid soap and paper towels are available for staff use </w:t>
            </w:r>
            <w:r w:rsidRPr="00E643E9">
              <w:rPr>
                <w:rFonts w:ascii="Arial" w:hAnsi="Arial" w:cs="Arial"/>
                <w:b/>
                <w:bCs/>
              </w:rPr>
              <w:t xml:space="preserve">at all </w:t>
            </w:r>
            <w:proofErr w:type="gramStart"/>
            <w:r w:rsidR="00E01C1B" w:rsidRPr="00E643E9">
              <w:rPr>
                <w:rFonts w:ascii="Arial" w:hAnsi="Arial" w:cs="Arial"/>
                <w:b/>
                <w:bCs/>
              </w:rPr>
              <w:t>times</w:t>
            </w:r>
            <w:proofErr w:type="gramEnd"/>
            <w:r w:rsidR="008E6AAB" w:rsidRPr="00E643E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D3BBBF" w14:textId="6DDF6033" w:rsidR="00E01C1B" w:rsidRPr="00E643E9" w:rsidRDefault="005F257C" w:rsidP="00E01C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43E9">
              <w:rPr>
                <w:rFonts w:ascii="Arial" w:hAnsi="Arial" w:cs="Arial"/>
              </w:rPr>
              <w:t>Staff should perform hand hygiene</w:t>
            </w:r>
            <w:r w:rsidR="00E01C1B" w:rsidRPr="00E643E9">
              <w:rPr>
                <w:rFonts w:ascii="Arial" w:hAnsi="Arial" w:cs="Arial"/>
              </w:rPr>
              <w:t xml:space="preserve"> in line with the W</w:t>
            </w:r>
            <w:r w:rsidR="00A819D0" w:rsidRPr="00E643E9">
              <w:rPr>
                <w:rFonts w:ascii="Arial" w:hAnsi="Arial" w:cs="Arial"/>
              </w:rPr>
              <w:t xml:space="preserve">orld </w:t>
            </w:r>
            <w:r w:rsidR="00E01C1B" w:rsidRPr="00E643E9">
              <w:rPr>
                <w:rFonts w:ascii="Arial" w:hAnsi="Arial" w:cs="Arial"/>
              </w:rPr>
              <w:t>H</w:t>
            </w:r>
            <w:r w:rsidR="00A819D0" w:rsidRPr="00E643E9">
              <w:rPr>
                <w:rFonts w:ascii="Arial" w:hAnsi="Arial" w:cs="Arial"/>
              </w:rPr>
              <w:t xml:space="preserve">ealth </w:t>
            </w:r>
            <w:r w:rsidR="00E01C1B" w:rsidRPr="00E643E9">
              <w:rPr>
                <w:rFonts w:ascii="Arial" w:hAnsi="Arial" w:cs="Arial"/>
              </w:rPr>
              <w:t>O</w:t>
            </w:r>
            <w:r w:rsidR="00A819D0" w:rsidRPr="00E643E9">
              <w:rPr>
                <w:rFonts w:ascii="Arial" w:hAnsi="Arial" w:cs="Arial"/>
              </w:rPr>
              <w:t>rganisation</w:t>
            </w:r>
            <w:r w:rsidR="00E01C1B" w:rsidRPr="00E643E9">
              <w:rPr>
                <w:rFonts w:ascii="Arial" w:hAnsi="Arial" w:cs="Arial"/>
              </w:rPr>
              <w:t xml:space="preserve"> 5 moments</w:t>
            </w:r>
            <w:r w:rsidR="00A819D0" w:rsidRPr="00E643E9">
              <w:rPr>
                <w:rFonts w:ascii="Arial" w:hAnsi="Arial" w:cs="Arial"/>
              </w:rPr>
              <w:t xml:space="preserve"> for hand hygiene</w:t>
            </w:r>
            <w:r w:rsidR="00E01C1B" w:rsidRPr="00E643E9">
              <w:rPr>
                <w:rFonts w:ascii="Arial" w:hAnsi="Arial" w:cs="Arial"/>
              </w:rPr>
              <w:t xml:space="preserve"> </w:t>
            </w:r>
            <w:r w:rsidR="00A819D0" w:rsidRPr="00E643E9">
              <w:rPr>
                <w:rFonts w:ascii="Arial" w:hAnsi="Arial" w:cs="Arial"/>
              </w:rPr>
              <w:t>a</w:t>
            </w:r>
            <w:r w:rsidR="00E01C1B" w:rsidRPr="00E643E9">
              <w:rPr>
                <w:rFonts w:ascii="Arial" w:hAnsi="Arial" w:cs="Arial"/>
              </w:rPr>
              <w:t>nd</w:t>
            </w:r>
            <w:r w:rsidRPr="00E643E9">
              <w:rPr>
                <w:rFonts w:ascii="Arial" w:hAnsi="Arial" w:cs="Arial"/>
              </w:rPr>
              <w:t xml:space="preserve"> before</w:t>
            </w:r>
            <w:r w:rsidR="00E01C1B" w:rsidRPr="00E643E9">
              <w:rPr>
                <w:rFonts w:ascii="Arial" w:hAnsi="Arial" w:cs="Arial"/>
              </w:rPr>
              <w:t xml:space="preserve"> preparing</w:t>
            </w:r>
            <w:r w:rsidRPr="00E643E9">
              <w:rPr>
                <w:rFonts w:ascii="Arial" w:hAnsi="Arial" w:cs="Arial"/>
              </w:rPr>
              <w:t xml:space="preserve"> </w:t>
            </w:r>
            <w:proofErr w:type="gramStart"/>
            <w:r w:rsidRPr="00E643E9">
              <w:rPr>
                <w:rFonts w:ascii="Arial" w:hAnsi="Arial" w:cs="Arial"/>
              </w:rPr>
              <w:t>meals</w:t>
            </w:r>
            <w:proofErr w:type="gramEnd"/>
          </w:p>
          <w:p w14:paraId="207CAFEF" w14:textId="66C958C1" w:rsidR="005F257C" w:rsidRPr="00E643E9" w:rsidRDefault="0031218E" w:rsidP="005F25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 xml:space="preserve">Remind staff that </w:t>
            </w:r>
            <w:r w:rsidR="005F257C" w:rsidRPr="00E643E9">
              <w:rPr>
                <w:rFonts w:ascii="Arial" w:hAnsi="Arial" w:cs="Arial"/>
                <w:color w:val="000000" w:themeColor="text1"/>
              </w:rPr>
              <w:t xml:space="preserve">Alcohol gel </w:t>
            </w:r>
            <w:r w:rsidR="005F257C" w:rsidRPr="00E643E9">
              <w:rPr>
                <w:rFonts w:ascii="Arial" w:hAnsi="Arial" w:cs="Arial"/>
                <w:b/>
                <w:bCs/>
                <w:color w:val="000000" w:themeColor="text1"/>
              </w:rPr>
              <w:t>should not</w:t>
            </w:r>
            <w:r w:rsidR="005F257C" w:rsidRPr="00E643E9">
              <w:rPr>
                <w:rFonts w:ascii="Arial" w:hAnsi="Arial" w:cs="Arial"/>
                <w:color w:val="000000" w:themeColor="text1"/>
              </w:rPr>
              <w:t xml:space="preserve"> be used as a means of hand </w:t>
            </w:r>
            <w:r w:rsidR="00247B16" w:rsidRPr="00E643E9">
              <w:rPr>
                <w:rFonts w:ascii="Arial" w:hAnsi="Arial" w:cs="Arial"/>
                <w:color w:val="000000" w:themeColor="text1"/>
              </w:rPr>
              <w:t>hygiene after</w:t>
            </w:r>
            <w:r w:rsidR="00E01C1B" w:rsidRPr="00E643E9">
              <w:rPr>
                <w:rFonts w:ascii="Arial" w:hAnsi="Arial" w:cs="Arial"/>
                <w:color w:val="000000" w:themeColor="text1"/>
              </w:rPr>
              <w:t xml:space="preserve"> blood or bodily fluid exposure</w:t>
            </w:r>
            <w:r w:rsidR="005F257C" w:rsidRPr="00E643E9">
              <w:rPr>
                <w:rFonts w:ascii="Arial" w:hAnsi="Arial" w:cs="Arial"/>
                <w:color w:val="000000" w:themeColor="text1"/>
              </w:rPr>
              <w:t xml:space="preserve">, after visiting the toilet and before handling </w:t>
            </w:r>
            <w:proofErr w:type="gramStart"/>
            <w:r w:rsidR="005F257C" w:rsidRPr="00E643E9">
              <w:rPr>
                <w:rFonts w:ascii="Arial" w:hAnsi="Arial" w:cs="Arial"/>
                <w:color w:val="000000" w:themeColor="text1"/>
              </w:rPr>
              <w:t>food</w:t>
            </w:r>
            <w:proofErr w:type="gramEnd"/>
            <w:r w:rsidR="005F257C" w:rsidRPr="00E643E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EACB362" w14:textId="702E635F" w:rsidR="008E6AAB" w:rsidRPr="00E643E9" w:rsidRDefault="00E01C1B" w:rsidP="008E6AA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 xml:space="preserve">Ensure all staff </w:t>
            </w:r>
            <w:r w:rsidR="0031218E" w:rsidRPr="00E643E9">
              <w:rPr>
                <w:rFonts w:ascii="Arial" w:hAnsi="Arial" w:cs="Arial"/>
                <w:color w:val="000000" w:themeColor="text1"/>
              </w:rPr>
              <w:t xml:space="preserve">are aware of </w:t>
            </w:r>
            <w:r w:rsidRPr="00E643E9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E643E9">
              <w:rPr>
                <w:rFonts w:ascii="Arial" w:hAnsi="Arial" w:cs="Arial"/>
              </w:rPr>
              <w:t xml:space="preserve">Ayliffe technique when performing hand </w:t>
            </w:r>
            <w:proofErr w:type="gramStart"/>
            <w:r w:rsidRPr="00E643E9">
              <w:rPr>
                <w:rFonts w:ascii="Arial" w:hAnsi="Arial" w:cs="Arial"/>
              </w:rPr>
              <w:t>hygiene</w:t>
            </w:r>
            <w:proofErr w:type="gramEnd"/>
            <w:r w:rsidRPr="00E643E9">
              <w:rPr>
                <w:rFonts w:ascii="Arial" w:hAnsi="Arial" w:cs="Arial"/>
              </w:rPr>
              <w:t xml:space="preserve"> </w:t>
            </w:r>
          </w:p>
          <w:p w14:paraId="281D3C8A" w14:textId="5DF08BC1" w:rsidR="005F257C" w:rsidRPr="00E643E9" w:rsidRDefault="003A78C2" w:rsidP="003A78C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E643E9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Supervise hand washing with colleagues </w:t>
            </w:r>
            <w:proofErr w:type="spellStart"/>
            <w:r w:rsidRPr="00E643E9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i.e</w:t>
            </w:r>
            <w:proofErr w:type="spellEnd"/>
            <w:r w:rsidRPr="00E643E9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hand hygiene audits</w:t>
            </w:r>
            <w:r w:rsidRPr="00E643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0FE50F" w14:textId="1885066C" w:rsidR="005F257C" w:rsidRPr="00E643E9" w:rsidRDefault="005F257C" w:rsidP="00E643E9">
            <w:pPr>
              <w:rPr>
                <w:rFonts w:ascii="Arial" w:hAnsi="Arial" w:cs="Arial"/>
                <w:b/>
                <w:bCs/>
              </w:rPr>
            </w:pPr>
            <w:bookmarkStart w:id="1" w:name="_Hlk129865332"/>
          </w:p>
        </w:tc>
      </w:tr>
      <w:tr w:rsidR="005F257C" w:rsidRPr="00E643E9" w14:paraId="1521014B" w14:textId="77777777" w:rsidTr="00E643E9">
        <w:tc>
          <w:tcPr>
            <w:tcW w:w="8784" w:type="dxa"/>
            <w:vMerge w:val="restart"/>
            <w:shd w:val="clear" w:color="auto" w:fill="E2EFD9" w:themeFill="accent6" w:themeFillTint="33"/>
            <w:vAlign w:val="center"/>
          </w:tcPr>
          <w:p w14:paraId="29AC2172" w14:textId="77777777" w:rsidR="005F257C" w:rsidRPr="00E643E9" w:rsidRDefault="005F257C" w:rsidP="00941B32">
            <w:pPr>
              <w:rPr>
                <w:rFonts w:ascii="Arial" w:hAnsi="Arial" w:cs="Arial"/>
                <w:b/>
                <w:bCs/>
              </w:rPr>
            </w:pPr>
            <w:bookmarkStart w:id="2" w:name="_Hlk126751171"/>
            <w:r w:rsidRPr="00E643E9">
              <w:rPr>
                <w:rFonts w:ascii="Arial" w:hAnsi="Arial" w:cs="Arial"/>
                <w:b/>
                <w:bCs/>
              </w:rPr>
              <w:t>PPE:</w:t>
            </w:r>
          </w:p>
          <w:p w14:paraId="599803D9" w14:textId="52A1844E" w:rsidR="005F257C" w:rsidRPr="00E643E9" w:rsidRDefault="005F257C" w:rsidP="005F25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43E9">
              <w:rPr>
                <w:rFonts w:ascii="Arial" w:hAnsi="Arial" w:cs="Arial"/>
              </w:rPr>
              <w:t>Ensure adequate supplies of aprons</w:t>
            </w:r>
            <w:r w:rsidR="00E01C1B" w:rsidRPr="00E643E9">
              <w:rPr>
                <w:rFonts w:ascii="Arial" w:hAnsi="Arial" w:cs="Arial"/>
              </w:rPr>
              <w:t xml:space="preserve">, </w:t>
            </w:r>
            <w:r w:rsidRPr="00E643E9">
              <w:rPr>
                <w:rFonts w:ascii="Arial" w:hAnsi="Arial" w:cs="Arial"/>
              </w:rPr>
              <w:t>gloves</w:t>
            </w:r>
            <w:r w:rsidR="00E01C1B" w:rsidRPr="00E643E9">
              <w:rPr>
                <w:rFonts w:ascii="Arial" w:hAnsi="Arial" w:cs="Arial"/>
              </w:rPr>
              <w:t xml:space="preserve">, </w:t>
            </w:r>
            <w:r w:rsidR="005C7626" w:rsidRPr="00E643E9">
              <w:rPr>
                <w:rFonts w:ascii="Arial" w:hAnsi="Arial" w:cs="Arial"/>
              </w:rPr>
              <w:t xml:space="preserve">fluid resistant surgical face </w:t>
            </w:r>
            <w:r w:rsidR="00E01C1B" w:rsidRPr="00E643E9">
              <w:rPr>
                <w:rFonts w:ascii="Arial" w:hAnsi="Arial" w:cs="Arial"/>
              </w:rPr>
              <w:t xml:space="preserve">masks and face protection i.e. visors </w:t>
            </w:r>
            <w:r w:rsidRPr="00E643E9">
              <w:rPr>
                <w:rFonts w:ascii="Arial" w:hAnsi="Arial" w:cs="Arial"/>
              </w:rPr>
              <w:t xml:space="preserve">are available and accessible </w:t>
            </w:r>
            <w:r w:rsidR="003A78C2" w:rsidRPr="00E643E9">
              <w:rPr>
                <w:rFonts w:ascii="Arial" w:hAnsi="Arial" w:cs="Arial"/>
              </w:rPr>
              <w:t xml:space="preserve">at all </w:t>
            </w:r>
            <w:proofErr w:type="gramStart"/>
            <w:r w:rsidR="003A78C2" w:rsidRPr="00E643E9">
              <w:rPr>
                <w:rFonts w:ascii="Arial" w:hAnsi="Arial" w:cs="Arial"/>
              </w:rPr>
              <w:t>times</w:t>
            </w:r>
            <w:proofErr w:type="gramEnd"/>
          </w:p>
          <w:p w14:paraId="0519E4D8" w14:textId="284EEDED" w:rsidR="00E01C1B" w:rsidRPr="00E643E9" w:rsidRDefault="00E01C1B" w:rsidP="005F25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43E9">
              <w:rPr>
                <w:rFonts w:ascii="Arial" w:hAnsi="Arial" w:cs="Arial"/>
              </w:rPr>
              <w:t xml:space="preserve">PPE should be transported in clean/cleanable receptacle for domiciliary </w:t>
            </w:r>
            <w:proofErr w:type="gramStart"/>
            <w:r w:rsidRPr="00E643E9">
              <w:rPr>
                <w:rFonts w:ascii="Arial" w:hAnsi="Arial" w:cs="Arial"/>
              </w:rPr>
              <w:t>visits</w:t>
            </w:r>
            <w:proofErr w:type="gramEnd"/>
          </w:p>
          <w:p w14:paraId="103E6477" w14:textId="4FE88971" w:rsidR="00E01C1B" w:rsidRPr="00E643E9" w:rsidRDefault="005C7626" w:rsidP="005F25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 xml:space="preserve">If extra care facility - </w:t>
            </w:r>
            <w:r w:rsidR="00E01C1B" w:rsidRPr="00E643E9">
              <w:rPr>
                <w:rFonts w:ascii="Arial" w:hAnsi="Arial" w:cs="Arial"/>
                <w:color w:val="000000" w:themeColor="text1"/>
              </w:rPr>
              <w:t>PPE should be stored in a clean area i.e. not toilet/bathroom areas</w:t>
            </w:r>
          </w:p>
          <w:p w14:paraId="40850FDE" w14:textId="7995A070" w:rsidR="005F257C" w:rsidRPr="00E643E9" w:rsidRDefault="005C7626" w:rsidP="00E643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>Staff to be reminded about the need to apply and remove PPE at the point of care to prevent contamination</w:t>
            </w:r>
          </w:p>
        </w:tc>
        <w:bookmarkEnd w:id="2"/>
        <w:tc>
          <w:tcPr>
            <w:tcW w:w="1559" w:type="dxa"/>
            <w:tcBorders>
              <w:bottom w:val="nil"/>
            </w:tcBorders>
            <w:shd w:val="clear" w:color="auto" w:fill="DEEAF6" w:themeFill="accent5" w:themeFillTint="33"/>
          </w:tcPr>
          <w:p w14:paraId="242D07EA" w14:textId="340986C9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tr w:rsidR="005F257C" w:rsidRPr="00E643E9" w14:paraId="72AC5371" w14:textId="77777777" w:rsidTr="00E643E9">
        <w:tc>
          <w:tcPr>
            <w:tcW w:w="8784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89A6F1" w14:textId="0C57366F" w:rsidR="005F257C" w:rsidRPr="00E643E9" w:rsidRDefault="005F257C" w:rsidP="00941B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2E3B5837" w14:textId="3581146F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tr w:rsidR="005F257C" w:rsidRPr="00E643E9" w14:paraId="6BCC6D79" w14:textId="77777777" w:rsidTr="00E643E9">
        <w:tc>
          <w:tcPr>
            <w:tcW w:w="8784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5190D" w14:textId="08CFF96C" w:rsidR="005F257C" w:rsidRPr="00E643E9" w:rsidRDefault="005F257C" w:rsidP="00941B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580A1C65" w14:textId="33F9BE11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tr w:rsidR="005F257C" w:rsidRPr="00E643E9" w14:paraId="4CCDFDE1" w14:textId="77777777" w:rsidTr="00E643E9">
        <w:tc>
          <w:tcPr>
            <w:tcW w:w="8784" w:type="dxa"/>
            <w:vMerge/>
            <w:shd w:val="clear" w:color="auto" w:fill="E2EFD9" w:themeFill="accent6" w:themeFillTint="33"/>
            <w:vAlign w:val="center"/>
          </w:tcPr>
          <w:p w14:paraId="6AB51FE1" w14:textId="2DA06772" w:rsidR="005F257C" w:rsidRPr="00E643E9" w:rsidRDefault="005F257C" w:rsidP="00941B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EEAF6" w:themeFill="accent5" w:themeFillTint="33"/>
          </w:tcPr>
          <w:p w14:paraId="36F7CBD1" w14:textId="0EFD608E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tr w:rsidR="00AF6D79" w:rsidRPr="00E643E9" w14:paraId="40F74DF2" w14:textId="77777777" w:rsidTr="00E643E9">
        <w:tc>
          <w:tcPr>
            <w:tcW w:w="8784" w:type="dxa"/>
            <w:shd w:val="clear" w:color="auto" w:fill="E2EFD9" w:themeFill="accent6" w:themeFillTint="33"/>
            <w:vAlign w:val="center"/>
          </w:tcPr>
          <w:p w14:paraId="6A801EAB" w14:textId="77777777" w:rsidR="00AF6D79" w:rsidRPr="00E643E9" w:rsidRDefault="00AF6D79" w:rsidP="00941B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43E9">
              <w:rPr>
                <w:rFonts w:ascii="Arial" w:hAnsi="Arial" w:cs="Arial"/>
                <w:b/>
                <w:bCs/>
                <w:color w:val="000000" w:themeColor="text1"/>
              </w:rPr>
              <w:t>Linen</w:t>
            </w:r>
          </w:p>
          <w:p w14:paraId="6B811F8C" w14:textId="19B8ACB0" w:rsidR="00AF6D79" w:rsidRPr="00E643E9" w:rsidRDefault="00AF6D79" w:rsidP="00AF6D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 xml:space="preserve">Do not rinse soiled bedding/linen by hand but use the pre-wash cycle on the service users or communal washing </w:t>
            </w:r>
            <w:proofErr w:type="gramStart"/>
            <w:r w:rsidRPr="00E643E9">
              <w:rPr>
                <w:rFonts w:ascii="Arial" w:hAnsi="Arial" w:cs="Arial"/>
                <w:color w:val="000000" w:themeColor="text1"/>
              </w:rPr>
              <w:t>machine</w:t>
            </w:r>
            <w:proofErr w:type="gramEnd"/>
            <w:r w:rsidRPr="00E643E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1760CA8" w14:textId="6921B743" w:rsidR="00AF6D79" w:rsidRPr="00E643E9" w:rsidRDefault="00AF6D79" w:rsidP="00E643E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>PPE should be worn when handling soiled or infected linen/clothing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EEAF6" w:themeFill="accent5" w:themeFillTint="33"/>
          </w:tcPr>
          <w:p w14:paraId="08D07A7A" w14:textId="77777777" w:rsidR="00AF6D79" w:rsidRPr="00E643E9" w:rsidRDefault="00AF6D79" w:rsidP="0075384F">
            <w:pPr>
              <w:rPr>
                <w:rFonts w:ascii="Arial" w:hAnsi="Arial" w:cs="Arial"/>
              </w:rPr>
            </w:pPr>
          </w:p>
        </w:tc>
      </w:tr>
      <w:tr w:rsidR="005F257C" w:rsidRPr="00E643E9" w14:paraId="66ED8D6A" w14:textId="77777777" w:rsidTr="00E643E9">
        <w:tc>
          <w:tcPr>
            <w:tcW w:w="8784" w:type="dxa"/>
            <w:vMerge w:val="restart"/>
            <w:shd w:val="clear" w:color="auto" w:fill="E2EFD9" w:themeFill="accent6" w:themeFillTint="33"/>
            <w:vAlign w:val="center"/>
          </w:tcPr>
          <w:p w14:paraId="4FEC7E09" w14:textId="1E41123F" w:rsidR="005F257C" w:rsidRPr="00E643E9" w:rsidRDefault="00247B16" w:rsidP="00941B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43E9">
              <w:rPr>
                <w:rFonts w:ascii="Arial" w:hAnsi="Arial" w:cs="Arial"/>
                <w:b/>
                <w:bCs/>
                <w:color w:val="000000" w:themeColor="text1"/>
              </w:rPr>
              <w:t xml:space="preserve">Care of the </w:t>
            </w:r>
            <w:r w:rsidR="005F257C" w:rsidRPr="00E643E9">
              <w:rPr>
                <w:rFonts w:ascii="Arial" w:hAnsi="Arial" w:cs="Arial"/>
                <w:b/>
                <w:bCs/>
                <w:color w:val="000000" w:themeColor="text1"/>
              </w:rPr>
              <w:t xml:space="preserve">environment </w:t>
            </w:r>
            <w:r w:rsidRPr="00E643E9">
              <w:rPr>
                <w:rFonts w:ascii="Arial" w:hAnsi="Arial" w:cs="Arial"/>
                <w:b/>
                <w:bCs/>
                <w:color w:val="000000" w:themeColor="text1"/>
              </w:rPr>
              <w:t xml:space="preserve">and equipment </w:t>
            </w:r>
            <w:r w:rsidR="00E01C1B" w:rsidRPr="00E643E9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r w:rsidR="00E01C1B" w:rsidRPr="00E643E9">
              <w:rPr>
                <w:rFonts w:ascii="Arial" w:hAnsi="Arial" w:cs="Arial"/>
                <w:i/>
                <w:iCs/>
                <w:color w:val="000000" w:themeColor="text1"/>
              </w:rPr>
              <w:t>may not be appropriate for domiciliary visits</w:t>
            </w:r>
            <w:r w:rsidR="00E01C1B" w:rsidRPr="00E643E9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57750962" w14:textId="0D6F0A83" w:rsidR="005F257C" w:rsidRPr="00E643E9" w:rsidRDefault="005F257C" w:rsidP="005F25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 xml:space="preserve">Ensure cleaning products contain </w:t>
            </w:r>
            <w:proofErr w:type="gramStart"/>
            <w:r w:rsidRPr="00E643E9">
              <w:rPr>
                <w:rFonts w:ascii="Arial" w:hAnsi="Arial" w:cs="Arial"/>
                <w:color w:val="000000" w:themeColor="text1"/>
              </w:rPr>
              <w:t>detergent</w:t>
            </w:r>
            <w:proofErr w:type="gramEnd"/>
          </w:p>
          <w:p w14:paraId="509A2952" w14:textId="2B44F65C" w:rsidR="005F257C" w:rsidRPr="00E643E9" w:rsidRDefault="005F257C" w:rsidP="005F25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 xml:space="preserve">Ensure disinfectant products are available </w:t>
            </w:r>
            <w:r w:rsidR="00AF6D79" w:rsidRPr="00E643E9">
              <w:rPr>
                <w:rFonts w:ascii="Arial" w:hAnsi="Arial" w:cs="Arial"/>
                <w:color w:val="000000" w:themeColor="text1"/>
              </w:rPr>
              <w:t>i.e.</w:t>
            </w:r>
            <w:r w:rsidRPr="00E643E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E643E9">
              <w:rPr>
                <w:rFonts w:ascii="Arial" w:hAnsi="Arial" w:cs="Arial"/>
                <w:color w:val="000000" w:themeColor="text1"/>
              </w:rPr>
              <w:t>milton</w:t>
            </w:r>
            <w:proofErr w:type="spellEnd"/>
            <w:proofErr w:type="gramEnd"/>
            <w:r w:rsidRPr="00E643E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130DCB4" w14:textId="4822BB79" w:rsidR="005F257C" w:rsidRPr="00E643E9" w:rsidRDefault="005F257C" w:rsidP="005F25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 xml:space="preserve">Ensure areas are </w:t>
            </w:r>
            <w:r w:rsidR="00247B16" w:rsidRPr="00E643E9">
              <w:rPr>
                <w:rFonts w:ascii="Arial" w:hAnsi="Arial" w:cs="Arial"/>
                <w:color w:val="000000" w:themeColor="text1"/>
              </w:rPr>
              <w:t xml:space="preserve">kept </w:t>
            </w:r>
            <w:r w:rsidRPr="00E643E9">
              <w:rPr>
                <w:rFonts w:ascii="Arial" w:hAnsi="Arial" w:cs="Arial"/>
                <w:color w:val="000000" w:themeColor="text1"/>
              </w:rPr>
              <w:t xml:space="preserve">well ventilated – opening doors and windows </w:t>
            </w:r>
            <w:proofErr w:type="gramStart"/>
            <w:r w:rsidR="00B320D0" w:rsidRPr="00E643E9">
              <w:rPr>
                <w:rFonts w:ascii="Arial" w:hAnsi="Arial" w:cs="Arial"/>
                <w:color w:val="000000" w:themeColor="text1"/>
              </w:rPr>
              <w:t>regularly</w:t>
            </w:r>
            <w:proofErr w:type="gramEnd"/>
            <w:r w:rsidR="00B320D0" w:rsidRPr="00E643E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807A848" w14:textId="4D8079DA" w:rsidR="00E20E27" w:rsidRPr="00E643E9" w:rsidRDefault="00FC4692" w:rsidP="00E643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E643E9">
              <w:rPr>
                <w:rFonts w:ascii="Arial" w:hAnsi="Arial" w:cs="Arial"/>
                <w:color w:val="000000" w:themeColor="text1"/>
              </w:rPr>
              <w:t>In extra care settings e</w:t>
            </w:r>
            <w:r w:rsidR="005F257C" w:rsidRPr="00E643E9">
              <w:rPr>
                <w:rFonts w:ascii="Arial" w:hAnsi="Arial" w:cs="Arial"/>
                <w:color w:val="000000" w:themeColor="text1"/>
              </w:rPr>
              <w:t>nsure</w:t>
            </w:r>
            <w:r w:rsidR="005C7626" w:rsidRPr="00E643E9">
              <w:rPr>
                <w:rFonts w:ascii="Arial" w:hAnsi="Arial" w:cs="Arial"/>
                <w:color w:val="000000" w:themeColor="text1"/>
              </w:rPr>
              <w:t xml:space="preserve"> staff have access to an</w:t>
            </w:r>
            <w:r w:rsidR="005F257C" w:rsidRPr="00E643E9">
              <w:rPr>
                <w:rFonts w:ascii="Arial" w:hAnsi="Arial" w:cs="Arial"/>
                <w:color w:val="000000" w:themeColor="text1"/>
              </w:rPr>
              <w:t xml:space="preserve"> appropriate spill kit </w:t>
            </w:r>
            <w:r w:rsidR="005C7626" w:rsidRPr="00E643E9">
              <w:rPr>
                <w:rFonts w:ascii="Arial" w:hAnsi="Arial" w:cs="Arial"/>
                <w:color w:val="000000" w:themeColor="text1"/>
              </w:rPr>
              <w:t xml:space="preserve">in the event of bodily fluid spillage </w:t>
            </w:r>
            <w:r w:rsidR="00871E49" w:rsidRPr="00E643E9">
              <w:rPr>
                <w:rFonts w:ascii="Arial" w:hAnsi="Arial" w:cs="Arial"/>
                <w:color w:val="000000" w:themeColor="text1"/>
              </w:rPr>
              <w:t>(</w:t>
            </w:r>
            <w:r w:rsidR="00247B16" w:rsidRPr="00E643E9">
              <w:rPr>
                <w:rFonts w:ascii="Arial" w:hAnsi="Arial" w:cs="Arial"/>
                <w:color w:val="000000" w:themeColor="text1"/>
              </w:rPr>
              <w:t xml:space="preserve">Spill kit is required for vomit, </w:t>
            </w:r>
            <w:proofErr w:type="gramStart"/>
            <w:r w:rsidR="00247B16" w:rsidRPr="00E643E9">
              <w:rPr>
                <w:rFonts w:ascii="Arial" w:hAnsi="Arial" w:cs="Arial"/>
                <w:color w:val="000000" w:themeColor="text1"/>
              </w:rPr>
              <w:t>blood</w:t>
            </w:r>
            <w:proofErr w:type="gramEnd"/>
            <w:r w:rsidR="00247B16" w:rsidRPr="00E643E9">
              <w:rPr>
                <w:rFonts w:ascii="Arial" w:hAnsi="Arial" w:cs="Arial"/>
                <w:color w:val="000000" w:themeColor="text1"/>
              </w:rPr>
              <w:t xml:space="preserve"> and faeces</w:t>
            </w:r>
            <w:r w:rsidR="00871E49" w:rsidRPr="00E643E9">
              <w:rPr>
                <w:rFonts w:ascii="Arial" w:hAnsi="Arial" w:cs="Arial"/>
                <w:color w:val="000000" w:themeColor="text1"/>
              </w:rPr>
              <w:t>)</w:t>
            </w:r>
            <w:r w:rsidR="005F257C" w:rsidRPr="00E643E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EEAF6" w:themeFill="accent5" w:themeFillTint="33"/>
          </w:tcPr>
          <w:p w14:paraId="15917B1B" w14:textId="296DDAEA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tr w:rsidR="00247B16" w:rsidRPr="00E643E9" w14:paraId="5E909257" w14:textId="77777777" w:rsidTr="00E643E9">
        <w:tc>
          <w:tcPr>
            <w:tcW w:w="8784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C4A48F" w14:textId="77777777" w:rsidR="00247B16" w:rsidRPr="00E643E9" w:rsidRDefault="00247B16" w:rsidP="00941B32">
            <w:pPr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0DE9D4AC" w14:textId="77777777" w:rsidR="00247B16" w:rsidRPr="00E643E9" w:rsidRDefault="00247B16" w:rsidP="0075384F">
            <w:pPr>
              <w:rPr>
                <w:rFonts w:ascii="Arial" w:hAnsi="Arial" w:cs="Arial"/>
              </w:rPr>
            </w:pPr>
          </w:p>
        </w:tc>
      </w:tr>
      <w:tr w:rsidR="005F257C" w:rsidRPr="00E643E9" w14:paraId="395CE746" w14:textId="77777777" w:rsidTr="00E643E9">
        <w:tc>
          <w:tcPr>
            <w:tcW w:w="8784" w:type="dxa"/>
            <w:vMerge/>
            <w:shd w:val="clear" w:color="auto" w:fill="E2EFD9" w:themeFill="accent6" w:themeFillTint="33"/>
            <w:vAlign w:val="center"/>
          </w:tcPr>
          <w:p w14:paraId="3EBECD12" w14:textId="0116FC9D" w:rsidR="005F257C" w:rsidRPr="00E643E9" w:rsidRDefault="005F257C" w:rsidP="00941B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42570D79" w14:textId="5C3388A7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tr w:rsidR="00E643E9" w:rsidRPr="00E643E9" w14:paraId="66CA992D" w14:textId="77777777" w:rsidTr="00E643E9">
        <w:trPr>
          <w:trHeight w:val="1979"/>
        </w:trPr>
        <w:tc>
          <w:tcPr>
            <w:tcW w:w="878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11BC64" w14:textId="77777777" w:rsidR="00E643E9" w:rsidRPr="00E643E9" w:rsidRDefault="00E643E9" w:rsidP="0046421F">
            <w:pPr>
              <w:rPr>
                <w:rFonts w:ascii="Arial" w:hAnsi="Arial" w:cs="Arial"/>
                <w:b/>
                <w:bCs/>
              </w:rPr>
            </w:pPr>
            <w:r w:rsidRPr="00E643E9">
              <w:rPr>
                <w:rFonts w:ascii="Arial" w:hAnsi="Arial" w:cs="Arial"/>
                <w:b/>
                <w:bCs/>
              </w:rPr>
              <w:t>Education</w:t>
            </w:r>
          </w:p>
          <w:p w14:paraId="106B450A" w14:textId="1A345EB0" w:rsidR="00E643E9" w:rsidRPr="00E643E9" w:rsidRDefault="00E643E9" w:rsidP="0046421F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lang w:eastAsia="en-GB"/>
              </w:rPr>
            </w:pPr>
            <w:r w:rsidRPr="00E643E9">
              <w:rPr>
                <w:rFonts w:ascii="Arial" w:hAnsi="Arial" w:cs="Arial"/>
              </w:rPr>
              <w:t xml:space="preserve">IPC educational sessions and mandatory training is up to </w:t>
            </w:r>
            <w:proofErr w:type="gramStart"/>
            <w:r w:rsidRPr="00E643E9">
              <w:rPr>
                <w:rFonts w:ascii="Arial" w:hAnsi="Arial" w:cs="Arial"/>
              </w:rPr>
              <w:t>date</w:t>
            </w:r>
            <w:proofErr w:type="gramEnd"/>
            <w:r w:rsidRPr="00E643E9">
              <w:rPr>
                <w:rFonts w:ascii="Arial" w:hAnsi="Arial" w:cs="Arial"/>
              </w:rPr>
              <w:t xml:space="preserve"> </w:t>
            </w:r>
          </w:p>
          <w:p w14:paraId="76EF7658" w14:textId="0FD75632" w:rsidR="00E643E9" w:rsidRPr="00E643E9" w:rsidRDefault="00E643E9" w:rsidP="005F257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Calibri" w:hAnsi="Arial" w:cs="Arial"/>
                <w:color w:val="000000" w:themeColor="text1"/>
                <w:lang w:eastAsia="en-GB"/>
              </w:rPr>
            </w:pPr>
            <w:r w:rsidRPr="00E643E9">
              <w:rPr>
                <w:rFonts w:ascii="Arial" w:eastAsia="Calibri" w:hAnsi="Arial" w:cs="Arial"/>
                <w:color w:val="000000" w:themeColor="text1"/>
                <w:lang w:eastAsia="en-GB"/>
              </w:rPr>
              <w:t xml:space="preserve">Educational sessions should be increased during periods of increased infections i.e. </w:t>
            </w:r>
            <w:proofErr w:type="gramStart"/>
            <w:r w:rsidRPr="00E643E9">
              <w:rPr>
                <w:rFonts w:ascii="Arial" w:eastAsia="Calibri" w:hAnsi="Arial" w:cs="Arial"/>
                <w:color w:val="000000" w:themeColor="text1"/>
                <w:lang w:eastAsia="en-GB"/>
              </w:rPr>
              <w:t>outbreaks</w:t>
            </w:r>
            <w:proofErr w:type="gramEnd"/>
          </w:p>
          <w:p w14:paraId="1827283A" w14:textId="77777777" w:rsidR="00E643E9" w:rsidRPr="00E643E9" w:rsidRDefault="00E643E9" w:rsidP="005F25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643E9">
              <w:rPr>
                <w:rFonts w:ascii="Arial" w:hAnsi="Arial" w:cs="Arial"/>
              </w:rPr>
              <w:t xml:space="preserve">Promote good cough etiquette by covering the nose and mouth when coughing and </w:t>
            </w:r>
            <w:proofErr w:type="gramStart"/>
            <w:r w:rsidRPr="00E643E9">
              <w:rPr>
                <w:rFonts w:ascii="Arial" w:hAnsi="Arial" w:cs="Arial"/>
              </w:rPr>
              <w:t>sneezing</w:t>
            </w:r>
            <w:proofErr w:type="gramEnd"/>
            <w:r w:rsidRPr="00E643E9">
              <w:rPr>
                <w:rFonts w:ascii="Arial" w:hAnsi="Arial" w:cs="Arial"/>
              </w:rPr>
              <w:t xml:space="preserve"> </w:t>
            </w:r>
          </w:p>
          <w:p w14:paraId="54BC545F" w14:textId="218E6F75" w:rsidR="00E643E9" w:rsidRPr="00E643E9" w:rsidRDefault="00E643E9" w:rsidP="00E643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643E9">
              <w:rPr>
                <w:rFonts w:ascii="Arial" w:hAnsi="Arial" w:cs="Arial"/>
              </w:rPr>
              <w:t xml:space="preserve">Encourage vaccination uptake in both staff and service users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90B2C5" w14:textId="400E6295" w:rsidR="00E643E9" w:rsidRPr="00E643E9" w:rsidRDefault="00E643E9" w:rsidP="0075384F">
            <w:pPr>
              <w:rPr>
                <w:rFonts w:ascii="Arial" w:hAnsi="Arial" w:cs="Arial"/>
              </w:rPr>
            </w:pPr>
          </w:p>
        </w:tc>
      </w:tr>
      <w:tr w:rsidR="003A78C2" w:rsidRPr="00E643E9" w14:paraId="0074034E" w14:textId="77777777" w:rsidTr="00E643E9">
        <w:tc>
          <w:tcPr>
            <w:tcW w:w="8784" w:type="dxa"/>
            <w:shd w:val="clear" w:color="auto" w:fill="E2EFD9" w:themeFill="accent6" w:themeFillTint="33"/>
            <w:vAlign w:val="center"/>
          </w:tcPr>
          <w:p w14:paraId="7CE5261B" w14:textId="77777777" w:rsidR="003A78C2" w:rsidRPr="00E643E9" w:rsidRDefault="003A78C2" w:rsidP="008E6AAB">
            <w:pPr>
              <w:rPr>
                <w:rFonts w:ascii="Arial" w:hAnsi="Arial" w:cs="Arial"/>
                <w:b/>
                <w:bCs/>
              </w:rPr>
            </w:pPr>
            <w:r w:rsidRPr="00E643E9">
              <w:rPr>
                <w:rFonts w:ascii="Arial" w:hAnsi="Arial" w:cs="Arial"/>
                <w:b/>
                <w:bCs/>
              </w:rPr>
              <w:t>Resources:</w:t>
            </w:r>
          </w:p>
          <w:p w14:paraId="6BD41C47" w14:textId="6A916C6E" w:rsidR="003A78C2" w:rsidRPr="00E643E9" w:rsidRDefault="00E643E9" w:rsidP="008E6AA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A78C2" w:rsidRPr="00E643E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Infection Prevention and Control - Wirral Community Health and Care NHS Foundation Trust</w:t>
              </w:r>
            </w:hyperlink>
          </w:p>
          <w:p w14:paraId="241B8D73" w14:textId="73E84A94" w:rsidR="003A78C2" w:rsidRPr="00E643E9" w:rsidRDefault="00E643E9" w:rsidP="008E6AA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A78C2" w:rsidRPr="00E643E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Auditing/Checklists - Care Home Settings - Wirral Community Health and Care NHS Foundation Trust</w:t>
              </w:r>
            </w:hyperlink>
          </w:p>
          <w:p w14:paraId="30F31869" w14:textId="70569CB0" w:rsidR="003A78C2" w:rsidRPr="00E643E9" w:rsidRDefault="00E643E9" w:rsidP="008E6AAB">
            <w:pPr>
              <w:rPr>
                <w:rFonts w:ascii="Arial" w:hAnsi="Arial" w:cs="Arial"/>
              </w:rPr>
            </w:pPr>
            <w:hyperlink r:id="rId10" w:history="1">
              <w:r w:rsidR="003A78C2" w:rsidRPr="00E643E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PPE (Personal Protective Equipment) - Wirral Community Health and Care NHS Foundation Trust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8FC41C4" w14:textId="77777777" w:rsidR="003A78C2" w:rsidRPr="00E643E9" w:rsidRDefault="003A78C2" w:rsidP="0075384F">
            <w:pPr>
              <w:rPr>
                <w:rFonts w:ascii="Arial" w:hAnsi="Arial" w:cs="Arial"/>
              </w:rPr>
            </w:pPr>
          </w:p>
        </w:tc>
      </w:tr>
      <w:tr w:rsidR="008E6AAB" w:rsidRPr="00E643E9" w14:paraId="1A2C226F" w14:textId="77777777" w:rsidTr="00E643E9">
        <w:tc>
          <w:tcPr>
            <w:tcW w:w="8784" w:type="dxa"/>
            <w:shd w:val="clear" w:color="auto" w:fill="E2EFD9" w:themeFill="accent6" w:themeFillTint="33"/>
            <w:vAlign w:val="center"/>
          </w:tcPr>
          <w:p w14:paraId="5220FE6B" w14:textId="6BD95F63" w:rsidR="008E6AAB" w:rsidRPr="00E643E9" w:rsidRDefault="008E6AAB" w:rsidP="00FC4692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*Staff should</w:t>
            </w:r>
            <w:r w:rsidR="00367112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C7626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assess service </w:t>
            </w:r>
            <w:proofErr w:type="gramStart"/>
            <w:r w:rsidR="005C7626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users</w:t>
            </w:r>
            <w:proofErr w:type="gramEnd"/>
            <w:r w:rsidR="005C7626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infectious status prior to visit</w:t>
            </w:r>
            <w:r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5C7626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i.e.</w:t>
            </w:r>
            <w:r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does the service user have any symptoms of respiratory illness and or gastrointestinal symptoms</w:t>
            </w:r>
            <w:r w:rsidR="00FC4692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367112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This it to </w:t>
            </w:r>
            <w:r w:rsidR="00FC4692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ensure appropriate actions/assessment is </w:t>
            </w:r>
            <w:r w:rsidR="00367112" w:rsidRPr="00E643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undertaken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6CD39B8" w14:textId="77777777" w:rsidR="008E6AAB" w:rsidRPr="00E643E9" w:rsidRDefault="008E6AAB" w:rsidP="0075384F">
            <w:pPr>
              <w:rPr>
                <w:rFonts w:ascii="Arial" w:hAnsi="Arial" w:cs="Arial"/>
              </w:rPr>
            </w:pPr>
          </w:p>
        </w:tc>
      </w:tr>
      <w:tr w:rsidR="00786280" w:rsidRPr="00E643E9" w14:paraId="48BA9B15" w14:textId="77777777" w:rsidTr="00E643E9">
        <w:tc>
          <w:tcPr>
            <w:tcW w:w="8784" w:type="dxa"/>
            <w:shd w:val="clear" w:color="auto" w:fill="E2EFD9" w:themeFill="accent6" w:themeFillTint="33"/>
            <w:vAlign w:val="center"/>
          </w:tcPr>
          <w:p w14:paraId="0129B62B" w14:textId="45C60D30" w:rsidR="0046421F" w:rsidRPr="00E643E9" w:rsidRDefault="00786280" w:rsidP="00E643E9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u w:val="single"/>
                <w:lang w:eastAsia="en-GB"/>
              </w:rPr>
            </w:pPr>
            <w:r w:rsidRPr="00E643E9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  <w:bookmarkStart w:id="3" w:name="_Hlk173248073"/>
            <w:r w:rsidRPr="00E643E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Staff aware of the exclusion periods for specific illnesses and should not attend work if they are feeling unwell </w:t>
            </w:r>
            <w:bookmarkEnd w:id="3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83E4A71" w14:textId="77777777" w:rsidR="00786280" w:rsidRPr="00E643E9" w:rsidRDefault="00786280" w:rsidP="0075384F">
            <w:pPr>
              <w:rPr>
                <w:rFonts w:ascii="Arial" w:hAnsi="Arial" w:cs="Arial"/>
              </w:rPr>
            </w:pPr>
          </w:p>
        </w:tc>
      </w:tr>
      <w:tr w:rsidR="005F257C" w:rsidRPr="00E643E9" w14:paraId="06AD933B" w14:textId="6AEB9F20" w:rsidTr="00E643E9">
        <w:tc>
          <w:tcPr>
            <w:tcW w:w="8784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ABBCC8" w14:textId="1982D050" w:rsidR="0046421F" w:rsidRPr="00E643E9" w:rsidRDefault="00367112" w:rsidP="00E643E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43E9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  <w:r w:rsidR="005F257C" w:rsidRPr="00E643E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643E9"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 w:rsidR="005F257C" w:rsidRPr="00E643E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hen a </w:t>
            </w:r>
            <w:r w:rsidR="00A819D0" w:rsidRPr="00E643E9">
              <w:rPr>
                <w:rFonts w:ascii="Arial" w:hAnsi="Arial" w:cs="Arial"/>
                <w:b/>
                <w:bCs/>
                <w:sz w:val="21"/>
                <w:szCs w:val="21"/>
              </w:rPr>
              <w:t>member of staff</w:t>
            </w:r>
            <w:r w:rsidR="005F257C" w:rsidRPr="00E643E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is reported absent </w:t>
            </w:r>
            <w:r w:rsidRPr="00E643E9">
              <w:rPr>
                <w:rFonts w:ascii="Arial" w:hAnsi="Arial" w:cs="Arial"/>
                <w:b/>
                <w:bCs/>
                <w:sz w:val="21"/>
                <w:szCs w:val="21"/>
              </w:rPr>
              <w:t>ensure</w:t>
            </w:r>
            <w:r w:rsidR="005F257C" w:rsidRPr="00E643E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643E9">
              <w:rPr>
                <w:rFonts w:ascii="Arial" w:hAnsi="Arial" w:cs="Arial"/>
                <w:b/>
                <w:bCs/>
                <w:sz w:val="21"/>
                <w:szCs w:val="21"/>
              </w:rPr>
              <w:t>it is</w:t>
            </w:r>
            <w:r w:rsidR="005F257C" w:rsidRPr="00E643E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recorded what they are absent with and monitor for any themes and trends </w:t>
            </w:r>
            <w:r w:rsidRPr="00E643E9">
              <w:rPr>
                <w:rFonts w:ascii="Arial" w:hAnsi="Arial" w:cs="Arial"/>
                <w:b/>
                <w:bCs/>
                <w:sz w:val="21"/>
                <w:szCs w:val="21"/>
              </w:rPr>
              <w:t>between service user/s and or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0A51FEED" w14:textId="15FD3CB5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tr w:rsidR="005F257C" w:rsidRPr="00E643E9" w14:paraId="36EC36B2" w14:textId="1A81CB49" w:rsidTr="00E643E9">
        <w:tc>
          <w:tcPr>
            <w:tcW w:w="8784" w:type="dxa"/>
            <w:vMerge/>
            <w:shd w:val="clear" w:color="auto" w:fill="E2EFD9" w:themeFill="accent6" w:themeFillTint="33"/>
            <w:vAlign w:val="center"/>
          </w:tcPr>
          <w:p w14:paraId="2D247D5F" w14:textId="328685A2" w:rsidR="005F257C" w:rsidRPr="00E643E9" w:rsidRDefault="005F257C" w:rsidP="00941B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EEAF6" w:themeFill="accent5" w:themeFillTint="33"/>
          </w:tcPr>
          <w:p w14:paraId="4BF5FCB3" w14:textId="60A5F918" w:rsidR="005F257C" w:rsidRPr="00E643E9" w:rsidRDefault="005F257C" w:rsidP="0075384F">
            <w:pPr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752EBA1F" w14:textId="1C4BC0D6" w:rsidR="00E643E9" w:rsidRPr="00E643E9" w:rsidRDefault="00E643E9" w:rsidP="00E643E9">
      <w:pPr>
        <w:tabs>
          <w:tab w:val="left" w:pos="1455"/>
        </w:tabs>
        <w:rPr>
          <w:rFonts w:ascii="Arial" w:hAnsi="Arial" w:cs="Arial"/>
          <w:sz w:val="16"/>
          <w:szCs w:val="16"/>
        </w:rPr>
      </w:pPr>
    </w:p>
    <w:sectPr w:rsidR="00E643E9" w:rsidRPr="00E643E9" w:rsidSect="00E643E9">
      <w:headerReference w:type="default" r:id="rId11"/>
      <w:footerReference w:type="default" r:id="rId12"/>
      <w:pgSz w:w="11906" w:h="16838"/>
      <w:pgMar w:top="296" w:right="720" w:bottom="426" w:left="720" w:header="691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7552" w14:textId="77777777" w:rsidR="00E02C21" w:rsidRDefault="00E02C21" w:rsidP="00E02C21">
      <w:pPr>
        <w:spacing w:after="0" w:line="240" w:lineRule="auto"/>
      </w:pPr>
      <w:r>
        <w:separator/>
      </w:r>
    </w:p>
  </w:endnote>
  <w:endnote w:type="continuationSeparator" w:id="0">
    <w:p w14:paraId="24B2454F" w14:textId="77777777" w:rsidR="00E02C21" w:rsidRDefault="00E02C21" w:rsidP="00E0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5B1" w14:textId="4313FA82" w:rsidR="00941B32" w:rsidRPr="004A08B7" w:rsidRDefault="00290F2B" w:rsidP="004A08B7">
    <w:pPr>
      <w:pStyle w:val="Foo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checklist for s</w:t>
    </w:r>
    <w:r w:rsidR="00E643E9">
      <w:rPr>
        <w:noProof/>
        <w:sz w:val="18"/>
        <w:szCs w:val="18"/>
      </w:rPr>
      <w:fldChar w:fldCharType="begin"/>
    </w:r>
    <w:r w:rsidR="00E643E9">
      <w:rPr>
        <w:noProof/>
        <w:sz w:val="18"/>
        <w:szCs w:val="18"/>
      </w:rPr>
      <w:instrText xml:space="preserve"> FILENAME   \* MERGEFORMAT </w:instrText>
    </w:r>
    <w:r w:rsidR="00E643E9">
      <w:rPr>
        <w:noProof/>
        <w:sz w:val="18"/>
        <w:szCs w:val="18"/>
      </w:rPr>
      <w:fldChar w:fldCharType="separate"/>
    </w:r>
    <w:r w:rsidR="00E643E9">
      <w:rPr>
        <w:noProof/>
        <w:sz w:val="18"/>
        <w:szCs w:val="18"/>
      </w:rPr>
      <w:t>checklist for Domicilary care providers  (Oct 24) v1</w:t>
    </w:r>
    <w:r w:rsidR="00E643E9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>chools (Sept 24)</w:t>
    </w:r>
    <w:r>
      <w:rPr>
        <w:sz w:val="18"/>
        <w:szCs w:val="18"/>
      </w:rPr>
      <w:fldChar w:fldCharType="end"/>
    </w:r>
    <w:r w:rsidRPr="004A08B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3D5B" w14:textId="77777777" w:rsidR="00E02C21" w:rsidRDefault="00E02C21" w:rsidP="00E02C21">
      <w:pPr>
        <w:spacing w:after="0" w:line="240" w:lineRule="auto"/>
      </w:pPr>
      <w:r>
        <w:separator/>
      </w:r>
    </w:p>
  </w:footnote>
  <w:footnote w:type="continuationSeparator" w:id="0">
    <w:p w14:paraId="7ECC2043" w14:textId="77777777" w:rsidR="00E02C21" w:rsidRDefault="00E02C21" w:rsidP="00E0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2BC1" w14:textId="5B5CCE39" w:rsidR="00E02C21" w:rsidRDefault="00E02C21">
    <w:pPr>
      <w:pStyle w:val="Header"/>
      <w:rPr>
        <w:noProof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0FF2DF66" wp14:editId="1AD2A903">
          <wp:simplePos x="0" y="0"/>
          <wp:positionH relativeFrom="margin">
            <wp:posOffset>5121910</wp:posOffset>
          </wp:positionH>
          <wp:positionV relativeFrom="paragraph">
            <wp:posOffset>-201930</wp:posOffset>
          </wp:positionV>
          <wp:extent cx="1553683" cy="800100"/>
          <wp:effectExtent l="0" t="0" r="8890" b="0"/>
          <wp:wrapNone/>
          <wp:docPr id="442142559" name="Picture 442142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 t="17727" r="6318" b="9676"/>
                  <a:stretch/>
                </pic:blipFill>
                <pic:spPr bwMode="auto">
                  <a:xfrm>
                    <a:off x="0" y="0"/>
                    <a:ext cx="155368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20F9A390" wp14:editId="5669464D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487805" cy="780954"/>
          <wp:effectExtent l="0" t="0" r="0" b="635"/>
          <wp:wrapNone/>
          <wp:docPr id="340915123" name="Picture 340915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7" t="32851" r="68404" b="7256"/>
                  <a:stretch/>
                </pic:blipFill>
                <pic:spPr bwMode="auto">
                  <a:xfrm>
                    <a:off x="0" y="0"/>
                    <a:ext cx="1487805" cy="780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3D9057" w14:textId="191DE994" w:rsidR="00E02C21" w:rsidRPr="007D16FB" w:rsidRDefault="00E02C21" w:rsidP="00E02C21">
    <w:pPr>
      <w:jc w:val="center"/>
      <w:rPr>
        <w:rFonts w:ascii="Arial" w:hAnsi="Arial" w:cs="Arial"/>
        <w:b/>
        <w:bCs/>
        <w:u w:val="single"/>
      </w:rPr>
    </w:pPr>
    <w:bookmarkStart w:id="4" w:name="_Hlk129866840"/>
    <w:r w:rsidRPr="007D16FB">
      <w:rPr>
        <w:rFonts w:ascii="Arial" w:hAnsi="Arial" w:cs="Arial"/>
        <w:b/>
        <w:bCs/>
        <w:u w:val="single"/>
      </w:rPr>
      <w:t>Checklist</w:t>
    </w:r>
    <w:r w:rsidR="00E643E9">
      <w:rPr>
        <w:rFonts w:ascii="Arial" w:hAnsi="Arial" w:cs="Arial"/>
        <w:b/>
        <w:bCs/>
        <w:u w:val="single"/>
      </w:rPr>
      <w:t xml:space="preserve"> for Domiciliary Care Providers</w:t>
    </w:r>
  </w:p>
  <w:bookmarkEnd w:id="4"/>
  <w:p w14:paraId="1FCF04D3" w14:textId="77777777" w:rsidR="00E02C21" w:rsidRPr="00E02C21" w:rsidRDefault="00E02C21">
    <w:pPr>
      <w:pStyle w:val="Header"/>
      <w:rPr>
        <w:sz w:val="6"/>
        <w:szCs w:val="6"/>
      </w:rPr>
    </w:pPr>
  </w:p>
  <w:p w14:paraId="59B4DA8A" w14:textId="5DD71860" w:rsidR="00E02C21" w:rsidRDefault="00E02C21">
    <w:pPr>
      <w:pStyle w:val="Header"/>
    </w:pPr>
    <w:r>
      <w:rPr>
        <w:noProof/>
        <w:lang w:eastAsia="en-GB"/>
      </w:rPr>
      <w:drawing>
        <wp:inline distT="0" distB="0" distL="0" distR="0" wp14:anchorId="064EFE2C" wp14:editId="6A12F616">
          <wp:extent cx="6645910" cy="101701"/>
          <wp:effectExtent l="0" t="0" r="2540" b="0"/>
          <wp:docPr id="205240328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6645910" cy="101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034"/>
    <w:multiLevelType w:val="hybridMultilevel"/>
    <w:tmpl w:val="B8D8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B5C"/>
    <w:multiLevelType w:val="hybridMultilevel"/>
    <w:tmpl w:val="E742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6E1"/>
    <w:multiLevelType w:val="hybridMultilevel"/>
    <w:tmpl w:val="E1FE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32FF"/>
    <w:multiLevelType w:val="hybridMultilevel"/>
    <w:tmpl w:val="65CE2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4573"/>
    <w:multiLevelType w:val="hybridMultilevel"/>
    <w:tmpl w:val="FC0A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2845"/>
    <w:multiLevelType w:val="hybridMultilevel"/>
    <w:tmpl w:val="2312B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21C0A"/>
    <w:multiLevelType w:val="hybridMultilevel"/>
    <w:tmpl w:val="1C80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67C9"/>
    <w:multiLevelType w:val="hybridMultilevel"/>
    <w:tmpl w:val="99D8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58216">
    <w:abstractNumId w:val="6"/>
  </w:num>
  <w:num w:numId="2" w16cid:durableId="159470832">
    <w:abstractNumId w:val="3"/>
  </w:num>
  <w:num w:numId="3" w16cid:durableId="1299609298">
    <w:abstractNumId w:val="1"/>
  </w:num>
  <w:num w:numId="4" w16cid:durableId="1009327998">
    <w:abstractNumId w:val="4"/>
  </w:num>
  <w:num w:numId="5" w16cid:durableId="811755370">
    <w:abstractNumId w:val="0"/>
  </w:num>
  <w:num w:numId="6" w16cid:durableId="279994850">
    <w:abstractNumId w:val="7"/>
  </w:num>
  <w:num w:numId="7" w16cid:durableId="935211543">
    <w:abstractNumId w:val="5"/>
  </w:num>
  <w:num w:numId="8" w16cid:durableId="45738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00"/>
    <w:rsid w:val="00033D63"/>
    <w:rsid w:val="00166D50"/>
    <w:rsid w:val="00171963"/>
    <w:rsid w:val="00247B16"/>
    <w:rsid w:val="0027775A"/>
    <w:rsid w:val="00290F2B"/>
    <w:rsid w:val="00292500"/>
    <w:rsid w:val="00294BDE"/>
    <w:rsid w:val="002B5A61"/>
    <w:rsid w:val="002C39AD"/>
    <w:rsid w:val="002F611F"/>
    <w:rsid w:val="0031218E"/>
    <w:rsid w:val="00333146"/>
    <w:rsid w:val="00363FD2"/>
    <w:rsid w:val="00367112"/>
    <w:rsid w:val="003A78C2"/>
    <w:rsid w:val="0046421F"/>
    <w:rsid w:val="0049699E"/>
    <w:rsid w:val="004A08B7"/>
    <w:rsid w:val="004B29C0"/>
    <w:rsid w:val="004C6E40"/>
    <w:rsid w:val="004D6413"/>
    <w:rsid w:val="005152EA"/>
    <w:rsid w:val="005539AA"/>
    <w:rsid w:val="00590AC0"/>
    <w:rsid w:val="00594FED"/>
    <w:rsid w:val="005A10A3"/>
    <w:rsid w:val="005C4D8C"/>
    <w:rsid w:val="005C7626"/>
    <w:rsid w:val="005F257C"/>
    <w:rsid w:val="00640821"/>
    <w:rsid w:val="0075384F"/>
    <w:rsid w:val="00786280"/>
    <w:rsid w:val="007D16FB"/>
    <w:rsid w:val="007D225A"/>
    <w:rsid w:val="00804A69"/>
    <w:rsid w:val="00835C34"/>
    <w:rsid w:val="0085140B"/>
    <w:rsid w:val="00870776"/>
    <w:rsid w:val="00871E49"/>
    <w:rsid w:val="008A3936"/>
    <w:rsid w:val="008E6AAB"/>
    <w:rsid w:val="00941B32"/>
    <w:rsid w:val="00974D5F"/>
    <w:rsid w:val="009A5E2A"/>
    <w:rsid w:val="009B4274"/>
    <w:rsid w:val="00A733EC"/>
    <w:rsid w:val="00A819D0"/>
    <w:rsid w:val="00AF6D79"/>
    <w:rsid w:val="00B07251"/>
    <w:rsid w:val="00B320D0"/>
    <w:rsid w:val="00BC521C"/>
    <w:rsid w:val="00C466A8"/>
    <w:rsid w:val="00DA53E6"/>
    <w:rsid w:val="00DC122D"/>
    <w:rsid w:val="00DE0D20"/>
    <w:rsid w:val="00E01C1B"/>
    <w:rsid w:val="00E02C21"/>
    <w:rsid w:val="00E20E27"/>
    <w:rsid w:val="00E643E9"/>
    <w:rsid w:val="00F056A7"/>
    <w:rsid w:val="00F122D0"/>
    <w:rsid w:val="00F32E1C"/>
    <w:rsid w:val="00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74C53F5"/>
  <w15:chartTrackingRefBased/>
  <w15:docId w15:val="{E12D514D-C311-4C9A-9ABC-FB71A93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21"/>
  </w:style>
  <w:style w:type="paragraph" w:styleId="Footer">
    <w:name w:val="footer"/>
    <w:basedOn w:val="Normal"/>
    <w:link w:val="FooterChar"/>
    <w:uiPriority w:val="99"/>
    <w:unhideWhenUsed/>
    <w:rsid w:val="00E02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21"/>
  </w:style>
  <w:style w:type="character" w:styleId="CommentReference">
    <w:name w:val="annotation reference"/>
    <w:basedOn w:val="DefaultParagraphFont"/>
    <w:uiPriority w:val="99"/>
    <w:semiHidden/>
    <w:unhideWhenUsed/>
    <w:rsid w:val="00247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6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hc.nhs.uk/services/infection-prevention-and-contro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chc.nhs.uk/ipc-topics/ppe-personal-protective-equip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chc.nhs.uk/ipc-topics/auditing-care-home-setting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F0FE-52C5-47CE-A043-2DAE16D4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DEVENEY, Sarah (WIRRAL COMMUNITY HEALTH AND CARE NHS FOUNDATION TRUST)</dc:creator>
  <cp:keywords/>
  <dc:description/>
  <cp:lastModifiedBy>MCGUFFIE, Laura (WIRRAL COMMUNITY HEALTH AND CARE NHS FOUNDATION TRUST)</cp:lastModifiedBy>
  <cp:revision>9</cp:revision>
  <cp:lastPrinted>2023-03-16T13:46:00Z</cp:lastPrinted>
  <dcterms:created xsi:type="dcterms:W3CDTF">2024-10-08T12:36:00Z</dcterms:created>
  <dcterms:modified xsi:type="dcterms:W3CDTF">2024-11-20T15:31:00Z</dcterms:modified>
</cp:coreProperties>
</file>