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136"/>
        <w:gridCol w:w="423"/>
        <w:gridCol w:w="1197"/>
        <w:gridCol w:w="2064"/>
        <w:gridCol w:w="1275"/>
      </w:tblGrid>
      <w:tr w:rsidR="00E97FC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spacing w:before="120" w:after="120"/>
            </w:pPr>
            <w:bookmarkStart w:id="0" w:name="_GoBack"/>
            <w:bookmarkEnd w:id="0"/>
            <w:r>
              <w:t xml:space="preserve">Case ID Number: 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tabs>
                <w:tab w:val="left" w:pos="3780"/>
              </w:tabs>
              <w:spacing w:before="120" w:after="120"/>
              <w:jc w:val="center"/>
            </w:pPr>
            <w:r>
              <w:rPr>
                <w:b/>
                <w:bCs/>
                <w:sz w:val="28"/>
                <w:szCs w:val="22"/>
              </w:rPr>
              <w:t>DEPRIVATION OF LIBERTY SAFEGUARDS FORM 6</w:t>
            </w:r>
          </w:p>
          <w:p w:rsidR="00E97FC1" w:rsidRDefault="00EA57B1">
            <w:pPr>
              <w:tabs>
                <w:tab w:val="left" w:pos="3780"/>
              </w:tabs>
              <w:spacing w:before="120" w:after="120"/>
              <w:jc w:val="center"/>
            </w:pPr>
            <w:r>
              <w:rPr>
                <w:b/>
                <w:szCs w:val="32"/>
              </w:rPr>
              <w:t>STANDARD AUTHORISATION NOT GRANTED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 of the person who has been assessed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address of the care home or </w:t>
            </w:r>
            <w:r>
              <w:rPr>
                <w:sz w:val="22"/>
                <w:szCs w:val="22"/>
              </w:rPr>
              <w:t>hospital who requested the authorisation</w:t>
            </w: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and address of the Supervisory Body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tabs>
                <w:tab w:val="left" w:pos="3387"/>
              </w:tabs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to contact at the Supervisory Body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THE SUPERVISORY BODY’S DECISION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relevant Managing Authority made a request for a </w:t>
            </w:r>
            <w:r>
              <w:rPr>
                <w:sz w:val="22"/>
                <w:szCs w:val="22"/>
              </w:rPr>
              <w:t>Standard Authorisation which was received on:</w:t>
            </w:r>
            <w:r>
              <w:rPr>
                <w:sz w:val="22"/>
                <w:szCs w:val="22"/>
              </w:rPr>
              <w:tab/>
            </w:r>
          </w:p>
          <w:p w:rsidR="00E97FC1" w:rsidRDefault="00EA57B1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2383154</wp:posOffset>
                      </wp:positionH>
                      <wp:positionV relativeFrom="paragraph">
                        <wp:posOffset>96524</wp:posOffset>
                      </wp:positionV>
                      <wp:extent cx="2447921" cy="304796"/>
                      <wp:effectExtent l="0" t="0" r="9529" b="19054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304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97FC1" w:rsidRDefault="00E97F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7.65pt;margin-top:7.6pt;width:192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" strokeweight=".26467mm">
                      <v:textbox style="mso-fit-shape-to-text:t">
                        <w:txbxContent>
                          <w:p w:rsidR="00E97FC1" w:rsidRDefault="00E97F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Date:</w:t>
            </w:r>
          </w:p>
          <w:p w:rsidR="00E97FC1" w:rsidRDefault="00EA57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E97FC1" w:rsidRDefault="00EA57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5"/>
              </w:tabs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2384023</wp:posOffset>
                      </wp:positionH>
                      <wp:positionV relativeFrom="paragraph">
                        <wp:posOffset>-630</wp:posOffset>
                      </wp:positionV>
                      <wp:extent cx="2447921" cy="304796"/>
                      <wp:effectExtent l="0" t="0" r="9529" b="19054"/>
                      <wp:wrapNone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304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97FC1" w:rsidRDefault="00E97F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187.7pt;margin-top:-.05pt;width:192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" strokeweight=".26467mm">
                      <v:textbox style="mso-fit-shape-to-text:t">
                        <w:txbxContent>
                          <w:p w:rsidR="00E97FC1" w:rsidRDefault="00E97F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Time:</w:t>
            </w:r>
          </w:p>
          <w:p w:rsidR="00E97FC1" w:rsidRDefault="00E97FC1">
            <w:pPr>
              <w:spacing w:line="120" w:lineRule="auto"/>
              <w:rPr>
                <w:b/>
                <w:sz w:val="32"/>
                <w:szCs w:val="32"/>
              </w:rPr>
            </w:pP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  <w:p w:rsidR="00E97FC1" w:rsidRDefault="00EA5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Supervisory Body is prohibited from giving a Standard Authorisation in relation to that request.</w:t>
            </w:r>
          </w:p>
          <w:p w:rsidR="00E97FC1" w:rsidRDefault="00E97FC1">
            <w:pPr>
              <w:jc w:val="both"/>
              <w:rPr>
                <w:sz w:val="22"/>
                <w:szCs w:val="22"/>
              </w:rPr>
            </w:pPr>
          </w:p>
          <w:p w:rsidR="00E97FC1" w:rsidRDefault="00EA5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because the person was assessed as not meeting the following </w:t>
            </w:r>
            <w:r>
              <w:rPr>
                <w:sz w:val="22"/>
                <w:szCs w:val="22"/>
              </w:rPr>
              <w:t>qualifying requirement(s) for being deprived of liberty under Schedule A1 to the Mental Capacity Act 2005:</w:t>
            </w:r>
          </w:p>
          <w:p w:rsidR="00E97FC1" w:rsidRDefault="00E97FC1">
            <w:pPr>
              <w:jc w:val="both"/>
              <w:rPr>
                <w:sz w:val="22"/>
                <w:szCs w:val="22"/>
              </w:rPr>
            </w:pPr>
          </w:p>
          <w:p w:rsidR="00E97FC1" w:rsidRDefault="00EA57B1">
            <w:pPr>
              <w:jc w:val="both"/>
            </w:pPr>
            <w:r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there may be no completed assessment of some of the requirements. This is because when a person fails one requirement, a standard authorisatio</w:t>
            </w:r>
            <w:r>
              <w:rPr>
                <w:i/>
                <w:sz w:val="22"/>
                <w:szCs w:val="22"/>
              </w:rPr>
              <w:t>n may not be given and all other on-going assessments must stop.</w:t>
            </w:r>
          </w:p>
          <w:p w:rsidR="00E97FC1" w:rsidRDefault="00EA57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following requirements are not met: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MET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MET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requirement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spacing w:before="120" w:after="120"/>
            </w:pPr>
            <w:r>
              <w:rPr>
                <w:sz w:val="22"/>
                <w:szCs w:val="22"/>
              </w:rPr>
              <w:t>No Refusals requirement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 requirement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spacing w:before="120" w:after="120"/>
            </w:pPr>
            <w:r>
              <w:rPr>
                <w:sz w:val="22"/>
                <w:szCs w:val="22"/>
              </w:rPr>
              <w:t>Eligibility requirement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Mental </w:t>
            </w:r>
            <w:r>
              <w:rPr>
                <w:sz w:val="22"/>
                <w:szCs w:val="22"/>
              </w:rPr>
              <w:t>Capacity requirement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A57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Interests requirement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r>
              <w:rPr>
                <w:sz w:val="22"/>
              </w:rPr>
              <w:t>Not assessed (</w:t>
            </w:r>
            <w:r>
              <w:rPr>
                <w:i/>
                <w:sz w:val="18"/>
              </w:rPr>
              <w:t>State reasons for not assessing in box i.e. deceased, moved, discharged):</w:t>
            </w: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</w:tc>
      </w:tr>
    </w:tbl>
    <w:p w:rsidR="00E97FC1" w:rsidRDefault="00E97FC1"/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1620"/>
        <w:gridCol w:w="2631"/>
        <w:gridCol w:w="708"/>
      </w:tblGrid>
      <w:tr w:rsidR="00E97FC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spacing w:before="120" w:after="120"/>
            </w:pPr>
            <w:r>
              <w:rPr>
                <w:b/>
              </w:rPr>
              <w:lastRenderedPageBreak/>
              <w:t>EVIDENCE OF SUPERVISORY BODY SCRUTINY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 authoriser should indicate why they concur with the conclusions of </w:t>
            </w:r>
            <w:r>
              <w:rPr>
                <w:i/>
                <w:sz w:val="20"/>
              </w:rPr>
              <w:t>the Assessors’ reports and demonstrate overall scrutiny of the process:</w:t>
            </w: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IF THERE APPEARS TO BE AN UNAUTHORISED DEPRIVATION OF LIBERTY</w:t>
            </w: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best </w:t>
            </w:r>
            <w:proofErr w:type="gramStart"/>
            <w:r>
              <w:rPr>
                <w:sz w:val="22"/>
                <w:szCs w:val="22"/>
              </w:rPr>
              <w:t>interests</w:t>
            </w:r>
            <w:proofErr w:type="gramEnd"/>
            <w:r>
              <w:rPr>
                <w:sz w:val="22"/>
                <w:szCs w:val="22"/>
              </w:rPr>
              <w:t xml:space="preserve"> assessment report included a statement that it appeared to the </w:t>
            </w:r>
            <w:r>
              <w:rPr>
                <w:sz w:val="22"/>
                <w:szCs w:val="22"/>
              </w:rPr>
              <w:t xml:space="preserve">assessor that this person is, or is likely to be, subject to an unauthorised deprivation of liberty. </w:t>
            </w:r>
          </w:p>
          <w:p w:rsidR="00E97FC1" w:rsidRDefault="00E97FC1">
            <w:pPr>
              <w:rPr>
                <w:sz w:val="22"/>
                <w:szCs w:val="22"/>
              </w:rPr>
            </w:pPr>
          </w:p>
          <w:p w:rsidR="00E97FC1" w:rsidRDefault="00EA57B1">
            <w:pPr>
              <w:jc w:val="both"/>
            </w:pPr>
            <w:r>
              <w:rPr>
                <w:i/>
                <w:sz w:val="18"/>
                <w:szCs w:val="18"/>
              </w:rPr>
              <w:t>The authoriser should now consider whether an Adult Safeguarding referral should be made, if not already made by the Best Interest Assessor and whether a</w:t>
            </w:r>
            <w:r>
              <w:rPr>
                <w:i/>
                <w:sz w:val="18"/>
                <w:szCs w:val="18"/>
              </w:rPr>
              <w:t>n application to the High Court or Court of Protection should be made.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  <w:p w:rsidR="00E97FC1" w:rsidRDefault="00EA57B1">
            <w:r>
              <w:rPr>
                <w:sz w:val="22"/>
                <w:szCs w:val="22"/>
              </w:rPr>
              <w:t xml:space="preserve">Signed </w:t>
            </w:r>
            <w:r>
              <w:rPr>
                <w:i/>
                <w:color w:val="auto"/>
                <w:sz w:val="22"/>
                <w:szCs w:val="22"/>
              </w:rPr>
              <w:t>(on behalf of the Supervisory Body)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</w:tc>
      </w:tr>
      <w:tr w:rsidR="00E97FC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C1" w:rsidRDefault="00EA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E97FC1" w:rsidRDefault="00E97FC1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FC1" w:rsidRDefault="00E97FC1">
            <w:pPr>
              <w:rPr>
                <w:sz w:val="22"/>
                <w:szCs w:val="22"/>
              </w:rPr>
            </w:pPr>
          </w:p>
        </w:tc>
      </w:tr>
    </w:tbl>
    <w:p w:rsidR="00E97FC1" w:rsidRDefault="00E97FC1">
      <w:pPr>
        <w:rPr>
          <w:sz w:val="22"/>
          <w:szCs w:val="22"/>
        </w:rPr>
      </w:pPr>
    </w:p>
    <w:sectPr w:rsidR="00E97FC1">
      <w:headerReference w:type="default" r:id="rId7"/>
      <w:footerReference w:type="default" r:id="rId8"/>
      <w:pgSz w:w="11906" w:h="16838"/>
      <w:pgMar w:top="1134" w:right="1134" w:bottom="1134" w:left="1134" w:header="22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7B1">
      <w:r>
        <w:separator/>
      </w:r>
    </w:p>
  </w:endnote>
  <w:endnote w:type="continuationSeparator" w:id="0">
    <w:p w:rsidR="00000000" w:rsidRDefault="00EA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7B" w:rsidRDefault="00EA57B1">
    <w:pPr>
      <w:pStyle w:val="Footer"/>
      <w:tabs>
        <w:tab w:val="clear" w:pos="8306"/>
        <w:tab w:val="right" w:pos="9639"/>
      </w:tabs>
    </w:pPr>
    <w:r>
      <w:rPr>
        <w:sz w:val="16"/>
        <w:szCs w:val="16"/>
      </w:rPr>
      <w:t>March 2015 – V4 - Final</w:t>
    </w:r>
    <w:r>
      <w:rPr>
        <w:sz w:val="16"/>
        <w:szCs w:val="16"/>
      </w:rPr>
      <w:tab/>
      <w:t xml:space="preserve">Deprivation of Liberty Safeguards Form 6 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05217B" w:rsidRDefault="00EA57B1">
    <w:pPr>
      <w:pStyle w:val="Footer"/>
      <w:tabs>
        <w:tab w:val="clear" w:pos="8306"/>
        <w:tab w:val="right" w:pos="10440"/>
      </w:tabs>
      <w:rPr>
        <w:sz w:val="16"/>
        <w:szCs w:val="16"/>
      </w:rPr>
    </w:pPr>
    <w:r>
      <w:rPr>
        <w:sz w:val="16"/>
        <w:szCs w:val="16"/>
      </w:rPr>
      <w:tab/>
      <w:t xml:space="preserve">Standard </w:t>
    </w:r>
    <w:r>
      <w:rPr>
        <w:sz w:val="16"/>
        <w:szCs w:val="16"/>
      </w:rPr>
      <w:t>Authorisation Not Granted</w:t>
    </w:r>
  </w:p>
  <w:p w:rsidR="0005217B" w:rsidRDefault="00EA5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7B1">
      <w:r>
        <w:separator/>
      </w:r>
    </w:p>
  </w:footnote>
  <w:footnote w:type="continuationSeparator" w:id="0">
    <w:p w:rsidR="00000000" w:rsidRDefault="00EA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7B" w:rsidRDefault="00EA57B1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4797902</wp:posOffset>
          </wp:positionH>
          <wp:positionV relativeFrom="paragraph">
            <wp:posOffset>118743</wp:posOffset>
          </wp:positionV>
          <wp:extent cx="1145825" cy="572121"/>
          <wp:effectExtent l="0" t="0" r="0" b="0"/>
          <wp:wrapNone/>
          <wp:docPr id="1" name="Picture 1" descr="Description: Description: Published by the Department of Health in partnership with the NH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825" cy="572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>
          <wp:extent cx="1127756" cy="574042"/>
          <wp:effectExtent l="0" t="0" r="0" b="0"/>
          <wp:docPr id="2" name="Picture 1" descr="Description: ADASS Logo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56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5217B" w:rsidRDefault="00EA5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FC1"/>
    <w:rsid w:val="00E97FC1"/>
    <w:rsid w:val="00E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363435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363435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1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Company>NHS Wirral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Jean-Paul</cp:lastModifiedBy>
  <cp:revision>2</cp:revision>
  <cp:lastPrinted>2015-01-25T09:23:00Z</cp:lastPrinted>
  <dcterms:created xsi:type="dcterms:W3CDTF">2019-10-24T10:19:00Z</dcterms:created>
  <dcterms:modified xsi:type="dcterms:W3CDTF">2019-10-24T10:19:00Z</dcterms:modified>
</cp:coreProperties>
</file>